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F" w:rsidRDefault="00A84509" w:rsidP="00FE4AA6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206F9F">
        <w:t>Panevėžio lopšelis – darželis „Nykštukas“</w:t>
      </w:r>
    </w:p>
    <w:p w:rsidR="00FE4AA6" w:rsidRDefault="00FE4AA6" w:rsidP="00FE4AA6">
      <w:pPr>
        <w:spacing w:line="360" w:lineRule="auto"/>
        <w:jc w:val="center"/>
      </w:pPr>
    </w:p>
    <w:p w:rsidR="00FE4AA6" w:rsidRDefault="000045D4" w:rsidP="00FE4AA6">
      <w:pPr>
        <w:spacing w:line="360" w:lineRule="auto"/>
        <w:jc w:val="center"/>
      </w:pPr>
      <w:r>
        <w:t>2022</w:t>
      </w:r>
      <w:r w:rsidR="003043DF">
        <w:t xml:space="preserve"> M. </w:t>
      </w:r>
      <w:r w:rsidR="0019136F">
        <w:t>I</w:t>
      </w:r>
      <w:r w:rsidR="009E70D9">
        <w:t xml:space="preserve"> KETVIRČIO</w:t>
      </w:r>
      <w:r w:rsidR="00374DC2">
        <w:t xml:space="preserve"> </w:t>
      </w:r>
      <w:r w:rsidR="00FE4AA6">
        <w:t>FINANSINIŲ ATASKAITŲ AIŠKINAMASIS RAŠTAS</w:t>
      </w:r>
    </w:p>
    <w:p w:rsidR="00FE4AA6" w:rsidRDefault="00244921" w:rsidP="00FE4AA6">
      <w:pPr>
        <w:jc w:val="center"/>
      </w:pPr>
      <w:bookmarkStart w:id="0" w:name="_GoBack"/>
      <w:bookmarkEnd w:id="0"/>
      <w:r>
        <w:t>2022-05-13</w:t>
      </w:r>
    </w:p>
    <w:p w:rsidR="00FE4AA6" w:rsidRDefault="00FE4AA6" w:rsidP="00FE4AA6">
      <w:pPr>
        <w:jc w:val="center"/>
      </w:pPr>
      <w:r>
        <w:t>Panevėžys</w:t>
      </w:r>
    </w:p>
    <w:p w:rsidR="00FE4AA6" w:rsidRDefault="00FE4AA6" w:rsidP="00FE4AA6">
      <w:pPr>
        <w:spacing w:line="360" w:lineRule="auto"/>
        <w:jc w:val="center"/>
      </w:pPr>
    </w:p>
    <w:p w:rsidR="00FE4AA6" w:rsidRDefault="0067646E" w:rsidP="00FE4AA6">
      <w:pPr>
        <w:spacing w:line="360" w:lineRule="auto"/>
        <w:jc w:val="center"/>
      </w:pPr>
      <w:r>
        <w:t>I</w:t>
      </w:r>
      <w:r w:rsidR="00AD6021">
        <w:t xml:space="preserve">. </w:t>
      </w:r>
      <w:r w:rsidR="00FE4AA6">
        <w:t>BENDROJI DALIS</w:t>
      </w:r>
    </w:p>
    <w:p w:rsidR="00FE4AA6" w:rsidRDefault="00FE4AA6" w:rsidP="00EB4CC3">
      <w:pPr>
        <w:ind w:firstLine="1298"/>
        <w:jc w:val="both"/>
      </w:pPr>
      <w:r>
        <w:t>Panevėžio lopšelis – d</w:t>
      </w:r>
      <w:r w:rsidR="00785439">
        <w:t>a</w:t>
      </w:r>
      <w:r>
        <w:t xml:space="preserve">rželis „Nykštukas“ įkurtas 1968 m. Juridinių asmenų registre įregistruotas 1994 m. rugsėjo 22 d. </w:t>
      </w:r>
      <w:r w:rsidR="00785439">
        <w:t xml:space="preserve">Įmonės registracijos kodas – 190413238. </w:t>
      </w:r>
      <w:r>
        <w:t xml:space="preserve">Teisinė forma – savivaldybės biudžetinė įstaiga. </w:t>
      </w:r>
    </w:p>
    <w:p w:rsidR="00FE4AA6" w:rsidRDefault="00785439" w:rsidP="00EB4CC3">
      <w:pPr>
        <w:ind w:firstLine="1298"/>
        <w:jc w:val="both"/>
      </w:pPr>
      <w:r>
        <w:t>Įstaigos veikla – ikimokyklinis ugdymas, programa – švietimo ir ugdymo programa.</w:t>
      </w:r>
    </w:p>
    <w:p w:rsidR="00785439" w:rsidRDefault="00785439" w:rsidP="00EB4CC3">
      <w:pPr>
        <w:ind w:firstLine="1298"/>
        <w:jc w:val="both"/>
      </w:pPr>
      <w:r>
        <w:t>Panevėžio lopšelis – darželis „Nykštukas“ kontroliuojamų ar asocijuotų subjektų neturi.</w:t>
      </w:r>
    </w:p>
    <w:p w:rsidR="00672971" w:rsidRDefault="00244921" w:rsidP="00EB4CC3">
      <w:pPr>
        <w:ind w:firstLine="1298"/>
        <w:jc w:val="both"/>
      </w:pPr>
      <w:r>
        <w:t>2022</w:t>
      </w:r>
      <w:r w:rsidR="00672971">
        <w:t xml:space="preserve"> m.</w:t>
      </w:r>
      <w:r w:rsidR="009E70D9">
        <w:t xml:space="preserve"> I ketvirtį</w:t>
      </w:r>
      <w:r w:rsidR="00672971">
        <w:t xml:space="preserve"> lopšelyje – darželyje „</w:t>
      </w:r>
      <w:r w:rsidR="0068076C">
        <w:t>Nykštukas“ vidutiniškai d</w:t>
      </w:r>
      <w:r w:rsidR="006D1E01">
        <w:t>i</w:t>
      </w:r>
      <w:r w:rsidR="009E70D9">
        <w:t>rbo 28</w:t>
      </w:r>
      <w:r w:rsidR="00535003">
        <w:t xml:space="preserve"> darbuotoj</w:t>
      </w:r>
      <w:r w:rsidR="00F929C6">
        <w:t>ai</w:t>
      </w:r>
      <w:r w:rsidR="00E0144E">
        <w:t xml:space="preserve">. </w:t>
      </w:r>
    </w:p>
    <w:p w:rsidR="00672971" w:rsidRDefault="00672971" w:rsidP="00EB4CC3">
      <w:pPr>
        <w:ind w:firstLine="1298"/>
        <w:jc w:val="both"/>
      </w:pPr>
      <w:r>
        <w:t>Panevėžio lopšelyje – daržel</w:t>
      </w:r>
      <w:r w:rsidR="00B93F91">
        <w:t>yje „Nykštukas“ veikia 6 grupės.</w:t>
      </w:r>
    </w:p>
    <w:p w:rsidR="007506A8" w:rsidRDefault="007506A8" w:rsidP="00EB4CC3">
      <w:pPr>
        <w:ind w:firstLine="1298"/>
        <w:jc w:val="both"/>
      </w:pPr>
      <w:r>
        <w:t>Įstaiga neturi kontroliuojamų ir asocijuotų subjektų.</w:t>
      </w:r>
    </w:p>
    <w:p w:rsidR="00F215CA" w:rsidRDefault="00F215CA" w:rsidP="00785439">
      <w:pPr>
        <w:spacing w:line="360" w:lineRule="auto"/>
        <w:ind w:firstLine="1298"/>
        <w:jc w:val="both"/>
      </w:pPr>
    </w:p>
    <w:p w:rsidR="00672971" w:rsidRDefault="000051F5" w:rsidP="000051F5">
      <w:pPr>
        <w:spacing w:line="360" w:lineRule="auto"/>
        <w:jc w:val="center"/>
      </w:pPr>
      <w:r>
        <w:t>II. APSKAIT</w:t>
      </w:r>
      <w:r w:rsidR="003F64B7">
        <w:t>O</w:t>
      </w:r>
      <w:r>
        <w:t>S POLITIKA</w:t>
      </w:r>
    </w:p>
    <w:p w:rsidR="000051F5" w:rsidRDefault="006D1E01" w:rsidP="00EB4CC3">
      <w:pPr>
        <w:ind w:firstLine="1298"/>
        <w:jc w:val="both"/>
      </w:pPr>
      <w:r>
        <w:t>Panevėžio lopšelio-darželio „Nykštukas“ a</w:t>
      </w:r>
      <w:r w:rsidR="00150569">
        <w:t xml:space="preserve">pskaitos politika </w:t>
      </w:r>
      <w:r w:rsidR="007506A8">
        <w:t>išsamiai aprašyta</w:t>
      </w:r>
      <w:r w:rsidR="00244921">
        <w:t xml:space="preserve"> 2021</w:t>
      </w:r>
      <w:r w:rsidR="003F64B7">
        <w:t xml:space="preserve"> m. metinių </w:t>
      </w:r>
      <w:r w:rsidR="00451103">
        <w:t xml:space="preserve">finansinių </w:t>
      </w:r>
      <w:r w:rsidR="007506A8">
        <w:t xml:space="preserve">ataskaitų rinkinyje, kuris paskelbtas įstaigos interneto svetainėje adresu </w:t>
      </w:r>
      <w:hyperlink r:id="rId8" w:tgtFrame="_blank" w:history="1">
        <w:r w:rsidR="007506A8">
          <w:rPr>
            <w:rStyle w:val="Hipersaitas"/>
          </w:rPr>
          <w:t>https://www.nykstukas.info/administracine-informacija/finansines-ataskaitos/</w:t>
        </w:r>
      </w:hyperlink>
      <w:r w:rsidR="007506A8">
        <w:t>.</w:t>
      </w:r>
    </w:p>
    <w:p w:rsidR="00773846" w:rsidRDefault="00773846" w:rsidP="00785439">
      <w:pPr>
        <w:spacing w:line="360" w:lineRule="auto"/>
        <w:ind w:firstLine="1298"/>
        <w:jc w:val="both"/>
      </w:pPr>
    </w:p>
    <w:p w:rsidR="008F0BDA" w:rsidRDefault="0067646E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  <w:r>
        <w:t>II</w:t>
      </w:r>
      <w:r w:rsidR="00FC3689">
        <w:t>I</w:t>
      </w:r>
      <w:r w:rsidR="00B721CA">
        <w:t>. PASTABOS</w:t>
      </w:r>
    </w:p>
    <w:p w:rsidR="009311C5" w:rsidRDefault="009311C5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  <w:r w:rsidRPr="0087788D">
        <w:rPr>
          <w:b/>
          <w:i/>
        </w:rPr>
        <w:t xml:space="preserve"> Finansinės būklės ataskaita</w:t>
      </w: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</w:p>
    <w:p w:rsidR="009311C5" w:rsidRDefault="00094C93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  <w:r w:rsidRPr="00094C93">
        <w:rPr>
          <w:b/>
        </w:rPr>
        <w:t>P03</w:t>
      </w:r>
      <w:r>
        <w:t xml:space="preserve">.  </w:t>
      </w:r>
      <w:r w:rsidR="009311C5">
        <w:t>Ilgalai</w:t>
      </w:r>
      <w:r w:rsidR="00C71122">
        <w:t>kis nematerialus turto</w:t>
      </w:r>
      <w:r w:rsidR="00807208">
        <w:t xml:space="preserve"> </w:t>
      </w:r>
      <w:r w:rsidR="00244921">
        <w:t>likutinė vertė 2022 m. kovo 31</w:t>
      </w:r>
      <w:r w:rsidR="00C71122">
        <w:t xml:space="preserve"> d. sudaro 0 Eur. </w:t>
      </w:r>
    </w:p>
    <w:p w:rsidR="00C71122" w:rsidRDefault="00C71122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</w:p>
    <w:p w:rsidR="00D44AA3" w:rsidRDefault="00094C93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094C93">
        <w:rPr>
          <w:b/>
        </w:rPr>
        <w:t>P04.</w:t>
      </w:r>
      <w:r>
        <w:t xml:space="preserve"> </w:t>
      </w:r>
      <w:r w:rsidR="009311C5">
        <w:t xml:space="preserve">Ilgalaikio materialaus </w:t>
      </w:r>
      <w:r w:rsidR="00C71122">
        <w:t xml:space="preserve">turto likutinė vertė – </w:t>
      </w:r>
      <w:r w:rsidR="00244921">
        <w:t>138102,61</w:t>
      </w:r>
      <w:r w:rsidR="009311C5">
        <w:t xml:space="preserve"> Eur. Ilgalaikį materialųjį turtą sudaro: įstaigos pa</w:t>
      </w:r>
      <w:r w:rsidR="00244921">
        <w:t>statas (likutinė vertė 134486,47</w:t>
      </w:r>
      <w:r w:rsidR="009311C5">
        <w:t xml:space="preserve"> Eur)</w:t>
      </w:r>
      <w:r w:rsidR="00244921">
        <w:t>, pramoninė viryklė (141,03</w:t>
      </w:r>
      <w:r w:rsidR="009311C5">
        <w:t xml:space="preserve"> Eur), skalbimo mašina (</w:t>
      </w:r>
      <w:r w:rsidR="00244921">
        <w:t>98,30</w:t>
      </w:r>
      <w:r w:rsidR="009311C5">
        <w:t xml:space="preserve"> Eur), konvekcinė krosnis (</w:t>
      </w:r>
      <w:r w:rsidR="00244921">
        <w:t>954,17</w:t>
      </w:r>
      <w:r w:rsidR="009311C5">
        <w:t xml:space="preserve"> Eur), elektrinė viryklė (</w:t>
      </w:r>
      <w:r w:rsidR="00244921">
        <w:t>510,74</w:t>
      </w:r>
      <w:r w:rsidR="009311C5">
        <w:t xml:space="preserve"> Eur), gartraukis (</w:t>
      </w:r>
      <w:r w:rsidR="00244921">
        <w:t>1335,09</w:t>
      </w:r>
      <w:r w:rsidR="009311C5">
        <w:t xml:space="preserve"> Eur), virtuvės stalo komplektas (</w:t>
      </w:r>
      <w:r w:rsidR="00244921">
        <w:t>327,01</w:t>
      </w:r>
      <w:r>
        <w:t xml:space="preserve"> Eur</w:t>
      </w:r>
      <w:r w:rsidR="00244921">
        <w:t xml:space="preserve">), virtuvės darbo stalas (249,80 </w:t>
      </w:r>
      <w:r w:rsidR="009311C5">
        <w:t xml:space="preserve">Eur). </w:t>
      </w:r>
    </w:p>
    <w:p w:rsidR="00D44AA3" w:rsidRDefault="00D44AA3" w:rsidP="00BC3E6A">
      <w:pPr>
        <w:pStyle w:val="Sraopastraipa"/>
        <w:ind w:left="0" w:firstLine="1298"/>
      </w:pPr>
    </w:p>
    <w:p w:rsidR="009311C5" w:rsidRDefault="009311C5" w:rsidP="00D44A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98"/>
        <w:jc w:val="both"/>
      </w:pPr>
      <w:r>
        <w:t>Trumpalaikis turtas –</w:t>
      </w:r>
      <w:r w:rsidR="00D44AA3">
        <w:t xml:space="preserve"> </w:t>
      </w:r>
      <w:r w:rsidR="00244921">
        <w:t>82697,87</w:t>
      </w:r>
      <w:r>
        <w:t xml:space="preserve">  Eur. Jį sudaro: </w:t>
      </w:r>
    </w:p>
    <w:p w:rsidR="009311C5" w:rsidRDefault="00BC3E6A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P08.</w:t>
      </w:r>
      <w:r w:rsidR="00244921">
        <w:t xml:space="preserve">  Atsargos: 1819,92 Eur: 715,00</w:t>
      </w:r>
      <w:r>
        <w:t xml:space="preserve"> Eur </w:t>
      </w:r>
      <w:r w:rsidR="00244921">
        <w:t>– maisto produktai, 1104,92</w:t>
      </w:r>
      <w:r w:rsidR="00E53E77">
        <w:t xml:space="preserve"> </w:t>
      </w:r>
      <w:r w:rsidR="009311C5">
        <w:t>Eur – įsigyto</w:t>
      </w:r>
      <w:r w:rsidR="00E53E77">
        <w:t>s  ir dar nepanaudotos atsargos</w:t>
      </w:r>
      <w:r w:rsidR="009311C5">
        <w:t>.</w:t>
      </w:r>
    </w:p>
    <w:p w:rsidR="009311C5" w:rsidRDefault="00BC3E6A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P09</w:t>
      </w:r>
      <w:r w:rsidR="00244921">
        <w:t>. 115,79</w:t>
      </w:r>
      <w:r w:rsidR="00E53E77">
        <w:t xml:space="preserve"> Eur – išankstinis apmokėjimas</w:t>
      </w:r>
      <w:r w:rsidR="009311C5">
        <w:t xml:space="preserve"> už </w:t>
      </w:r>
      <w:r w:rsidR="00E53E77">
        <w:t>prenumeratą.</w:t>
      </w:r>
    </w:p>
    <w:p w:rsidR="009311C5" w:rsidRDefault="007D009D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D009D">
        <w:rPr>
          <w:b/>
        </w:rPr>
        <w:t>P10.</w:t>
      </w:r>
      <w:r w:rsidR="00244921">
        <w:t xml:space="preserve">  79353,27</w:t>
      </w:r>
      <w:r w:rsidRPr="007D009D">
        <w:t xml:space="preserve"> </w:t>
      </w:r>
      <w:r w:rsidR="009311C5" w:rsidRPr="00E53E77">
        <w:t>Eur – per vienerius metus gautinos sumos:</w:t>
      </w:r>
    </w:p>
    <w:p w:rsidR="0070251B" w:rsidRPr="00E53E77" w:rsidRDefault="0070251B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-</w:t>
      </w:r>
      <w:r w:rsidR="00C24B5C">
        <w:t xml:space="preserve"> </w:t>
      </w:r>
      <w:r>
        <w:t>tėvų  sko</w:t>
      </w:r>
      <w:r w:rsidR="00C24B5C">
        <w:t>la už va</w:t>
      </w:r>
      <w:r w:rsidR="00244921">
        <w:t>ikų išlaikymą įstaigoje -1435,37</w:t>
      </w:r>
      <w:r w:rsidR="00C24B5C">
        <w:t xml:space="preserve"> Eur, skola už patalpų nuomą –</w:t>
      </w:r>
      <w:r w:rsidR="00244921">
        <w:t xml:space="preserve"> 13,05 </w:t>
      </w:r>
      <w:r w:rsidR="00C24B5C">
        <w:t>Eur</w:t>
      </w:r>
    </w:p>
    <w:p w:rsidR="00E53E77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lang w:val="en-GB"/>
        </w:rPr>
      </w:pPr>
      <w:r w:rsidRPr="00E53E77">
        <w:lastRenderedPageBreak/>
        <w:t xml:space="preserve">-sukauptos gautinos sumos </w:t>
      </w:r>
      <w:r w:rsidR="009B2C3C">
        <w:t>77855,61</w:t>
      </w:r>
      <w:r w:rsidR="0070251B">
        <w:t xml:space="preserve"> </w:t>
      </w:r>
      <w:r w:rsidRPr="00E53E77">
        <w:t>Eur: iš savivaldybės biudžeto gautinos sukauptos finansavimo pajamos –</w:t>
      </w:r>
      <w:r w:rsidR="009B2C3C">
        <w:rPr>
          <w:lang w:val="en-GB"/>
        </w:rPr>
        <w:t xml:space="preserve"> 74592,87</w:t>
      </w:r>
      <w:r w:rsidR="0070251B">
        <w:rPr>
          <w:lang w:val="en-GB"/>
        </w:rPr>
        <w:t xml:space="preserve"> </w:t>
      </w:r>
      <w:r w:rsidRPr="00E53E77">
        <w:rPr>
          <w:lang w:val="en-GB"/>
        </w:rPr>
        <w:t>Eur, sukauptos pajamos už paslaugas –</w:t>
      </w:r>
      <w:r w:rsidR="009B2C3C">
        <w:rPr>
          <w:lang w:val="en-GB"/>
        </w:rPr>
        <w:t xml:space="preserve"> 3262,74</w:t>
      </w:r>
      <w:r w:rsidR="0070251B">
        <w:rPr>
          <w:lang w:val="en-GB"/>
        </w:rPr>
        <w:t xml:space="preserve"> Eur.</w:t>
      </w:r>
    </w:p>
    <w:p w:rsidR="009311C5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-</w:t>
      </w:r>
      <w:r w:rsidR="009B2C3C">
        <w:t>kitos gautinos sumos – 49,24</w:t>
      </w:r>
      <w:r w:rsidR="009311C5">
        <w:t xml:space="preserve"> Eur. Šią sumą sudaro pavogto magnetofono kaina</w:t>
      </w:r>
      <w:r w:rsidR="009B2C3C">
        <w:t>.</w:t>
      </w:r>
      <w:r w:rsidR="00C24B5C">
        <w:t xml:space="preserve"> </w:t>
      </w:r>
    </w:p>
    <w:p w:rsidR="009311C5" w:rsidRPr="00770A45" w:rsidRDefault="0070251B" w:rsidP="00B85E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P11.</w:t>
      </w:r>
      <w:r>
        <w:t xml:space="preserve"> </w:t>
      </w:r>
      <w:r w:rsidR="009311C5" w:rsidRPr="00770A45">
        <w:t>Pinigai ir pinigų ekvivalentai –</w:t>
      </w:r>
      <w:r w:rsidR="009B2C3C">
        <w:t xml:space="preserve"> 1408,89</w:t>
      </w:r>
      <w:r w:rsidR="009311C5">
        <w:t xml:space="preserve"> Eur</w:t>
      </w:r>
      <w:r w:rsidR="009311C5" w:rsidRPr="00770A45">
        <w:t>. Juos sudaro</w:t>
      </w:r>
      <w:r w:rsidR="00C24B5C">
        <w:t xml:space="preserve"> pinigų likutis  banke – </w:t>
      </w:r>
      <w:r w:rsidR="009B2C3C">
        <w:t>1323,83</w:t>
      </w:r>
      <w:r w:rsidR="009311C5">
        <w:t xml:space="preserve"> Eur ir tėvų sumokėti, tačiau į įstaigos sąskaitą negauti p</w:t>
      </w:r>
      <w:r w:rsidR="00C24B5C">
        <w:t>inigai (pinigai kelyje</w:t>
      </w:r>
      <w:r w:rsidR="009B2C3C">
        <w:t>) – 85,06</w:t>
      </w:r>
      <w:r w:rsidR="009311C5">
        <w:t xml:space="preserve"> Eur.</w:t>
      </w:r>
    </w:p>
    <w:p w:rsidR="009311C5" w:rsidRDefault="0070251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P12</w:t>
      </w:r>
      <w:r w:rsidR="009B2C3C">
        <w:t>. Finansavimo sumos – 139037,75</w:t>
      </w:r>
      <w:r w:rsidR="009311C5">
        <w:t xml:space="preserve"> Eur:</w:t>
      </w:r>
    </w:p>
    <w:p w:rsidR="00C24B5C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Finansavimo sum</w:t>
      </w:r>
      <w:r w:rsidR="00E53E77">
        <w:t xml:space="preserve">os iš valstybės biudžeto – </w:t>
      </w:r>
      <w:r w:rsidR="009B2C3C">
        <w:t>960,60</w:t>
      </w:r>
      <w:r w:rsidR="0098743A">
        <w:t xml:space="preserve"> Eur. Jį sudaro nepanaudotų</w:t>
      </w:r>
      <w:r>
        <w:t xml:space="preserve"> </w:t>
      </w:r>
      <w:r w:rsidR="003B40AF">
        <w:t>atsargų likutis</w:t>
      </w:r>
      <w:r w:rsidR="009B2C3C">
        <w:t xml:space="preserve"> </w:t>
      </w:r>
      <w:r w:rsidR="00C24B5C">
        <w:t>ir nepanaudotos lėšos, skirtos nemokamam mokinių maitinimui.</w:t>
      </w:r>
    </w:p>
    <w:p w:rsidR="009943EE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9943EE">
        <w:t>Finansavimo sumos iš savivaldybės biudžeto –</w:t>
      </w:r>
      <w:r w:rsidR="003B40AF" w:rsidRPr="009943EE">
        <w:t xml:space="preserve"> </w:t>
      </w:r>
      <w:r w:rsidR="009B2C3C">
        <w:t>137978,85</w:t>
      </w:r>
      <w:r w:rsidRPr="009943EE">
        <w:t xml:space="preserve"> Eur. Šį likutį sudaro</w:t>
      </w:r>
      <w:r w:rsidRPr="00D170BF">
        <w:t xml:space="preserve">  ilgalaikio turto, įsigyto iš biudžeto lėšų,</w:t>
      </w:r>
      <w:r w:rsidR="003B40AF">
        <w:t xml:space="preserve"> likutinė vertė (</w:t>
      </w:r>
      <w:r>
        <w:t xml:space="preserve"> </w:t>
      </w:r>
      <w:r w:rsidR="009B2C3C">
        <w:t>137823,23</w:t>
      </w:r>
      <w:r w:rsidR="009943EE">
        <w:t xml:space="preserve"> </w:t>
      </w:r>
      <w:r>
        <w:t xml:space="preserve">Eur), </w:t>
      </w:r>
      <w:r w:rsidR="009B2C3C">
        <w:t>atsargų likutis (90,08</w:t>
      </w:r>
      <w:r w:rsidR="004D5EAD">
        <w:t xml:space="preserve"> Eur), </w:t>
      </w:r>
      <w:r w:rsidR="0098743A">
        <w:t>prenumerata (</w:t>
      </w:r>
      <w:r w:rsidR="009B2C3C">
        <w:t>65,54</w:t>
      </w:r>
      <w:r w:rsidR="00E206FB">
        <w:t xml:space="preserve"> Eur).</w:t>
      </w:r>
    </w:p>
    <w:p w:rsidR="009943EE" w:rsidRDefault="00E206F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 </w:t>
      </w:r>
      <w:r w:rsidR="009311C5" w:rsidRPr="005F6CE4">
        <w:t>Fina</w:t>
      </w:r>
      <w:r w:rsidR="009B2C3C">
        <w:t>nsavimo suma iš kitų šaltinių – 98,30</w:t>
      </w:r>
      <w:r w:rsidR="009943EE">
        <w:t xml:space="preserve"> </w:t>
      </w:r>
      <w:r w:rsidR="009311C5" w:rsidRPr="005F6CE4">
        <w:t>Eur.</w:t>
      </w:r>
      <w:r>
        <w:t xml:space="preserve"> Šią sumą sudaro ilgalaikio </w:t>
      </w:r>
      <w:r w:rsidR="009311C5">
        <w:t>turto likutinė vertė</w:t>
      </w:r>
      <w:r w:rsidR="009943EE">
        <w:t>.</w:t>
      </w:r>
      <w:r w:rsidR="009311C5">
        <w:t xml:space="preserve"> </w:t>
      </w:r>
    </w:p>
    <w:p w:rsidR="009943EE" w:rsidRDefault="00B85E3F" w:rsidP="00994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 xml:space="preserve">P15. </w:t>
      </w:r>
      <w:r>
        <w:t>Ilgalaikiai įsipareigojimai. Ilgal</w:t>
      </w:r>
      <w:r w:rsidR="009B2C3C">
        <w:t>aikius įsipareigojimus – 1725,24</w:t>
      </w:r>
      <w:r>
        <w:t xml:space="preserve"> Eur- sudaro išeitinių išmokų atidėjiniai ir nuo jų paskaičiuotos socialinio draudimo įmokos.</w:t>
      </w:r>
      <w:r w:rsidR="009943EE" w:rsidRPr="009943EE">
        <w:t xml:space="preserve"> </w:t>
      </w:r>
    </w:p>
    <w:p w:rsidR="00ED67AB" w:rsidRDefault="00DB467C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>P17</w:t>
      </w:r>
      <w:r>
        <w:t xml:space="preserve">. </w:t>
      </w:r>
      <w:r w:rsidR="00ED67AB">
        <w:t>Tie</w:t>
      </w:r>
      <w:r w:rsidR="009B2C3C">
        <w:t>kėjams mokėtinos sumos – 4218,83</w:t>
      </w:r>
      <w:r w:rsidR="00ED67AB">
        <w:t xml:space="preserve"> Eur: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</w:t>
      </w:r>
      <w:r w:rsidR="00E12FF6">
        <w:t>B</w:t>
      </w:r>
      <w:r w:rsidR="00494DBF">
        <w:t xml:space="preserve"> „Panevėžio energija“ –  1985,33 Eur (31856,15 Eur šildymo skola, 129,18</w:t>
      </w:r>
      <w:r>
        <w:t xml:space="preserve"> Eur – skola už sistemų priežiūrą).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Energi</w:t>
      </w:r>
      <w:r w:rsidR="003B40AF">
        <w:t xml:space="preserve">jos skirstymo operatorius – </w:t>
      </w:r>
      <w:r w:rsidR="00494DBF">
        <w:t>116,79</w:t>
      </w:r>
      <w:r w:rsidR="00BF678D">
        <w:t xml:space="preserve"> Eur – už elektros energijos perdavimo paslaugas</w:t>
      </w:r>
      <w:r>
        <w:t>.</w:t>
      </w:r>
    </w:p>
    <w:p w:rsidR="00BF678D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„Enefit</w:t>
      </w:r>
      <w:r w:rsidR="00E206FB">
        <w:t xml:space="preserve">“ – </w:t>
      </w:r>
      <w:r>
        <w:t>145,35</w:t>
      </w:r>
      <w:r w:rsidR="00BF678D">
        <w:t xml:space="preserve"> Eur – už elektros energiją.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</w:t>
      </w:r>
      <w:r w:rsidR="00494DBF">
        <w:t>„Aukštaitijos vandenys“ – 185,22</w:t>
      </w:r>
      <w:r>
        <w:t xml:space="preserve"> Eur.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„Telia Lietuva“ AB –  </w:t>
      </w:r>
      <w:r w:rsidR="00494DBF">
        <w:t>35,40</w:t>
      </w:r>
      <w:r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„Lietuvos rad</w:t>
      </w:r>
      <w:r w:rsidR="00E12FF6">
        <w:t>ijo ir televizijos centras“ – 21</w:t>
      </w:r>
      <w:r>
        <w:t>,90 Eur (už interneto ryšį)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Panevėžio s</w:t>
      </w:r>
      <w:r w:rsidR="00E12FF6">
        <w:t>p</w:t>
      </w:r>
      <w:r w:rsidR="00494DBF">
        <w:t>ecialus autotransportas – 87,70</w:t>
      </w:r>
      <w:r>
        <w:t xml:space="preserve"> Eur</w:t>
      </w:r>
      <w:r w:rsidR="00695808">
        <w:t>.</w:t>
      </w:r>
    </w:p>
    <w:p w:rsidR="009311C5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„Nevda“</w:t>
      </w:r>
      <w:r w:rsidR="00494DBF">
        <w:t>– 65,00</w:t>
      </w:r>
      <w:r w:rsidR="009311C5"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„Kagris</w:t>
      </w:r>
      <w:r w:rsidR="00494DBF">
        <w:t>“ 307,46</w:t>
      </w:r>
      <w:r>
        <w:t xml:space="preserve"> Eur – už skalbimo paslaugas.</w:t>
      </w:r>
    </w:p>
    <w:p w:rsidR="00BF678D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„ST Biuro sistemos</w:t>
      </w:r>
      <w:r w:rsidR="00BF678D">
        <w:t xml:space="preserve">“ – </w:t>
      </w:r>
      <w:r w:rsidR="00494DBF">
        <w:t>17</w:t>
      </w:r>
      <w:r>
        <w:t>,20</w:t>
      </w:r>
      <w:r w:rsidR="00BF678D">
        <w:t xml:space="preserve"> Eur – už </w:t>
      </w:r>
      <w:r>
        <w:t>spausdintuvo kasetes</w:t>
      </w:r>
      <w:r w:rsidR="00BF678D">
        <w:t>.</w:t>
      </w:r>
    </w:p>
    <w:p w:rsidR="00BF678D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„Antagutė“ – 21,30</w:t>
      </w:r>
      <w:r w:rsidR="00BF678D">
        <w:t xml:space="preserve"> Eur – už </w:t>
      </w:r>
      <w:r w:rsidR="00127ACC">
        <w:t>atliekų išvežimą.</w:t>
      </w:r>
    </w:p>
    <w:p w:rsidR="00BF678D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„Panevėžio gatvės“ </w:t>
      </w:r>
      <w:r w:rsidR="00127ACC">
        <w:t>–</w:t>
      </w:r>
      <w:r>
        <w:t xml:space="preserve"> </w:t>
      </w:r>
      <w:r w:rsidR="00494DBF">
        <w:t>13,04</w:t>
      </w:r>
      <w:r w:rsidR="00127ACC">
        <w:t xml:space="preserve"> Eur – už paviršinių nuotekų tvarkymą.</w:t>
      </w:r>
    </w:p>
    <w:p w:rsidR="00C57A20" w:rsidRDefault="00C57A20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„Makveža“ – 79,19 Eur (remonto medžiagos).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„Utenos deratizacija“ – 12,00 Eur.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Lindstrom UAB – 43,17 Eur.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„Presma“ – 172,72 Eur (už remonto medžiagas).</w:t>
      </w:r>
    </w:p>
    <w:p w:rsidR="009311C5" w:rsidRPr="00E64B42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E64B42">
        <w:t>Už maisto produktus:</w:t>
      </w:r>
    </w:p>
    <w:p w:rsidR="009311C5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lastRenderedPageBreak/>
        <w:t>UAB „Handelshus</w:t>
      </w:r>
      <w:r w:rsidR="00E64B42">
        <w:t xml:space="preserve">“ – </w:t>
      </w:r>
      <w:r>
        <w:t xml:space="preserve"> 110,17</w:t>
      </w:r>
      <w:r w:rsidR="009311C5">
        <w:t xml:space="preserve"> Eur.</w:t>
      </w:r>
    </w:p>
    <w:p w:rsidR="00ED67AB" w:rsidRDefault="00494DBF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MB „Naminė duonelė“  – 28,68</w:t>
      </w:r>
      <w:r w:rsidR="00E64B42">
        <w:t xml:space="preserve"> </w:t>
      </w:r>
      <w:r w:rsidR="00ED67AB">
        <w:t xml:space="preserve">Eur. </w:t>
      </w:r>
    </w:p>
    <w:p w:rsidR="009311C5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„Panevėžio Citma“ – 204,57</w:t>
      </w:r>
      <w:r w:rsidR="00C57A20">
        <w:t xml:space="preserve"> </w:t>
      </w:r>
      <w:r w:rsidR="009311C5">
        <w:t>Eur.</w:t>
      </w:r>
    </w:p>
    <w:p w:rsidR="00494DBF" w:rsidRDefault="000A5EB1" w:rsidP="00494D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</w:t>
      </w:r>
      <w:r w:rsidR="00ED67AB">
        <w:t xml:space="preserve">AB </w:t>
      </w:r>
      <w:r w:rsidR="00494DBF">
        <w:t xml:space="preserve">„Panevėžio bičiulis“ – 186,06 Eur </w:t>
      </w:r>
      <w:r w:rsidR="00494DBF">
        <w:t>(</w:t>
      </w:r>
      <w:r w:rsidR="009139E5" w:rsidRPr="009139E5">
        <w:t xml:space="preserve">iš šios skolos </w:t>
      </w:r>
      <w:r w:rsidR="009139E5">
        <w:t>– 10,24</w:t>
      </w:r>
      <w:r w:rsidR="00494DBF" w:rsidRPr="009139E5">
        <w:t xml:space="preserve"> </w:t>
      </w:r>
      <w:r w:rsidR="009139E5" w:rsidRPr="009139E5">
        <w:t xml:space="preserve"> Eur yra</w:t>
      </w:r>
      <w:r w:rsidR="00494DBF" w:rsidRPr="009139E5">
        <w:t xml:space="preserve"> </w:t>
      </w:r>
      <w:r w:rsidR="00494DBF">
        <w:t>nemokamo mokinių maitinimo skola</w:t>
      </w:r>
      <w:r w:rsidR="009139E5">
        <w:t>)</w:t>
      </w:r>
      <w:r w:rsidR="00494DBF">
        <w:t>.</w:t>
      </w:r>
    </w:p>
    <w:p w:rsidR="00E64B42" w:rsidRDefault="00E64B42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9139E5" w:rsidRDefault="00494DBF" w:rsidP="00913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„Pieno žvaigždės“ – 289,82</w:t>
      </w:r>
      <w:r w:rsidR="00E64B42">
        <w:t xml:space="preserve"> Eur</w:t>
      </w:r>
      <w:r w:rsidR="009139E5">
        <w:t xml:space="preserve"> </w:t>
      </w:r>
      <w:r w:rsidR="009139E5">
        <w:t>(</w:t>
      </w:r>
      <w:r w:rsidR="009139E5" w:rsidRPr="009139E5">
        <w:t xml:space="preserve">iš šios skolos </w:t>
      </w:r>
      <w:r w:rsidR="009139E5">
        <w:t>–</w:t>
      </w:r>
      <w:r w:rsidR="009139E5">
        <w:t xml:space="preserve"> 9,92</w:t>
      </w:r>
      <w:r w:rsidR="009139E5" w:rsidRPr="009139E5">
        <w:t xml:space="preserve">  Eur yra </w:t>
      </w:r>
      <w:r w:rsidR="009139E5">
        <w:t>nemokamo mokinių maitinimo skola).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„Vilguva“ – 137,38 Eur.</w:t>
      </w:r>
    </w:p>
    <w:p w:rsidR="00DB467C" w:rsidRDefault="009311C5" w:rsidP="00DB467C">
      <w:pPr>
        <w:spacing w:line="360" w:lineRule="auto"/>
        <w:jc w:val="both"/>
      </w:pPr>
      <w:r w:rsidRPr="00DF0265">
        <w:t>- su darbo santykiais s</w:t>
      </w:r>
      <w:r w:rsidR="009139E5">
        <w:t>usiję įsipareigojimai – 37126,67</w:t>
      </w:r>
      <w:r w:rsidR="00F10BEA">
        <w:t xml:space="preserve"> </w:t>
      </w:r>
      <w:r w:rsidR="00E64B42">
        <w:t>Eur.</w:t>
      </w:r>
    </w:p>
    <w:p w:rsidR="009311C5" w:rsidRPr="00550AB1" w:rsidRDefault="009311C5" w:rsidP="009311C5">
      <w:pPr>
        <w:spacing w:line="360" w:lineRule="auto"/>
        <w:jc w:val="both"/>
      </w:pPr>
      <w:r>
        <w:t>- suka</w:t>
      </w:r>
      <w:r w:rsidR="009139E5">
        <w:t>uptos mokėtinos sumos – 33812,66</w:t>
      </w:r>
      <w:r>
        <w:t xml:space="preserve"> Eur:  priskaičiuoti mokėtini atostoginiai  ir socialinio draudimo įmokos.</w:t>
      </w:r>
    </w:p>
    <w:p w:rsidR="00241AA6" w:rsidRDefault="009311C5" w:rsidP="009311C5">
      <w:pPr>
        <w:spacing w:line="360" w:lineRule="auto"/>
        <w:jc w:val="both"/>
      </w:pPr>
      <w:r>
        <w:t>- kiti trumpa</w:t>
      </w:r>
      <w:r w:rsidR="00E64B42">
        <w:t>l</w:t>
      </w:r>
      <w:r w:rsidR="009139E5">
        <w:t>aikiai įsipareigojimai – 908,37</w:t>
      </w:r>
      <w:r>
        <w:t xml:space="preserve"> Eur: tėvų permoka už v</w:t>
      </w:r>
      <w:r w:rsidR="00E64B42">
        <w:t>aikų išlaikymą įstaigoje</w:t>
      </w:r>
      <w:r w:rsidR="009139E5">
        <w:t xml:space="preserve"> (859,13 Eur) ir pavogto magnetofono kaina – 49,24 Eur</w:t>
      </w:r>
      <w:r w:rsidR="00F10BEA">
        <w:t xml:space="preserve">. </w:t>
      </w:r>
    </w:p>
    <w:p w:rsidR="009311C5" w:rsidRPr="0087788D" w:rsidRDefault="009139E5" w:rsidP="009311C5">
      <w:pPr>
        <w:spacing w:line="360" w:lineRule="auto"/>
        <w:ind w:firstLine="1298"/>
        <w:jc w:val="both"/>
        <w:rPr>
          <w:b/>
          <w:i/>
        </w:rPr>
      </w:pPr>
      <w:r>
        <w:rPr>
          <w:b/>
          <w:i/>
        </w:rPr>
        <w:t>2022</w:t>
      </w:r>
      <w:r w:rsidR="00DB467C">
        <w:rPr>
          <w:b/>
          <w:i/>
        </w:rPr>
        <w:t xml:space="preserve"> m. I</w:t>
      </w:r>
      <w:r w:rsidR="009311C5" w:rsidRPr="008B38B9">
        <w:rPr>
          <w:b/>
          <w:i/>
        </w:rPr>
        <w:t xml:space="preserve"> ketvirčio į</w:t>
      </w:r>
      <w:r w:rsidR="00EE311C" w:rsidRPr="008B38B9">
        <w:rPr>
          <w:b/>
          <w:i/>
        </w:rPr>
        <w:t>staigos finansavimo pajamos -</w:t>
      </w:r>
      <w:r w:rsidR="009311C5" w:rsidRPr="008B38B9">
        <w:rPr>
          <w:b/>
          <w:i/>
        </w:rPr>
        <w:t xml:space="preserve">  </w:t>
      </w:r>
      <w:r>
        <w:rPr>
          <w:b/>
          <w:i/>
        </w:rPr>
        <w:t>140720,85</w:t>
      </w:r>
      <w:r w:rsidR="009311C5" w:rsidRPr="008B38B9">
        <w:rPr>
          <w:b/>
          <w:i/>
        </w:rPr>
        <w:t xml:space="preserve"> Eur, iš jų:</w:t>
      </w:r>
    </w:p>
    <w:p w:rsidR="0019533A" w:rsidRDefault="009139E5" w:rsidP="009311C5">
      <w:pPr>
        <w:spacing w:line="360" w:lineRule="auto"/>
        <w:ind w:firstLine="1298"/>
        <w:jc w:val="both"/>
      </w:pPr>
      <w:r>
        <w:t>- 57942,03</w:t>
      </w:r>
      <w:r w:rsidR="009311C5">
        <w:t xml:space="preserve"> Eur </w:t>
      </w:r>
      <w:r w:rsidR="00DB467C">
        <w:t>– valstybės biudžeto</w:t>
      </w:r>
      <w:r w:rsidR="0019533A">
        <w:t xml:space="preserve"> </w:t>
      </w:r>
    </w:p>
    <w:p w:rsidR="009311C5" w:rsidRDefault="009139E5" w:rsidP="009311C5">
      <w:pPr>
        <w:spacing w:line="360" w:lineRule="auto"/>
        <w:ind w:firstLine="1298"/>
        <w:jc w:val="both"/>
      </w:pPr>
      <w:r>
        <w:t>- 82300,33</w:t>
      </w:r>
      <w:r w:rsidR="009311C5">
        <w:t xml:space="preserve"> Eur – finansavimo pajamos iš savivaldybės biudžeto.</w:t>
      </w:r>
    </w:p>
    <w:p w:rsidR="0019533A" w:rsidRDefault="009139E5" w:rsidP="009311C5">
      <w:pPr>
        <w:spacing w:line="360" w:lineRule="auto"/>
        <w:ind w:firstLine="1298"/>
        <w:jc w:val="both"/>
      </w:pPr>
      <w:r>
        <w:t>- 465,84</w:t>
      </w:r>
      <w:r w:rsidR="0019533A">
        <w:t xml:space="preserve"> Eur – iš Europos sąjungos lėšų gautos finansavimo pajamos,</w:t>
      </w:r>
    </w:p>
    <w:p w:rsidR="009311C5" w:rsidRDefault="009139E5" w:rsidP="009311C5">
      <w:pPr>
        <w:spacing w:line="360" w:lineRule="auto"/>
        <w:ind w:firstLine="1298"/>
        <w:jc w:val="both"/>
      </w:pPr>
      <w:r>
        <w:t>- 12,65</w:t>
      </w:r>
      <w:r w:rsidR="00ED437A">
        <w:t xml:space="preserve"> Eur – finansavimo pajamos</w:t>
      </w:r>
      <w:r w:rsidR="0019533A">
        <w:t xml:space="preserve"> iš kitų šaltinių.</w:t>
      </w:r>
    </w:p>
    <w:p w:rsidR="009311C5" w:rsidRDefault="00ED437A" w:rsidP="009311C5">
      <w:pPr>
        <w:spacing w:line="360" w:lineRule="auto"/>
        <w:ind w:firstLine="1298"/>
        <w:jc w:val="both"/>
      </w:pPr>
      <w:r w:rsidRPr="00ED437A">
        <w:rPr>
          <w:b/>
        </w:rPr>
        <w:t>P21</w:t>
      </w:r>
      <w:r w:rsidR="00247D56">
        <w:t>.</w:t>
      </w:r>
      <w:r w:rsidR="009139E5">
        <w:t xml:space="preserve">   9207,73</w:t>
      </w:r>
      <w:r w:rsidR="009311C5">
        <w:t xml:space="preserve"> Eur – pag</w:t>
      </w:r>
      <w:r>
        <w:t>rindinės veiklos kitos pajamos, kurias sudaro pajamos už suteiktas paslaugas.</w:t>
      </w:r>
    </w:p>
    <w:p w:rsidR="008B38B9" w:rsidRPr="008B38B9" w:rsidRDefault="009311C5" w:rsidP="00ED43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</w:pPr>
      <w:r>
        <w:t xml:space="preserve">Pagrindinės veiklos sąnaudos – </w:t>
      </w:r>
      <w:r w:rsidR="009139E5">
        <w:t xml:space="preserve">150006,29 Eur, nuomos pajamos -56,55 </w:t>
      </w:r>
      <w:r w:rsidR="00C57A20">
        <w:t>Eur.</w:t>
      </w:r>
    </w:p>
    <w:p w:rsidR="000045D4" w:rsidRDefault="00100FB5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241AA6">
        <w:t>20 VSAFAS 4 priede pergrupuotas valstybės finansavimo sumas sudaro</w:t>
      </w:r>
      <w:r w:rsidR="000045D4">
        <w:t>:</w:t>
      </w:r>
      <w:r w:rsidRPr="00241AA6">
        <w:t xml:space="preserve"> nemokamam moki</w:t>
      </w:r>
      <w:r w:rsidR="0019533A">
        <w:t>ni</w:t>
      </w:r>
      <w:r w:rsidR="009139E5">
        <w:t>ų maitinimui</w:t>
      </w:r>
      <w:r w:rsidR="000045D4">
        <w:t xml:space="preserve"> (2551,92 Eur) ir privalomo ikimokyklinio ugdymo vaikų mitybai</w:t>
      </w:r>
      <w:r w:rsidR="009139E5">
        <w:t xml:space="preserve"> gautos lėšos</w:t>
      </w:r>
      <w:r w:rsidR="000045D4">
        <w:t xml:space="preserve">  –(183,06</w:t>
      </w:r>
      <w:r w:rsidRPr="00241AA6">
        <w:t xml:space="preserve"> Eu</w:t>
      </w:r>
      <w:r w:rsidR="009139E5">
        <w:t>r</w:t>
      </w:r>
      <w:r w:rsidR="000045D4">
        <w:t>) ir pagal vaisių  ir pieno vartojimo skatinimo programas gauti produktai – 397,59 Eur.</w:t>
      </w:r>
    </w:p>
    <w:p w:rsidR="00100FB5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  S</w:t>
      </w:r>
      <w:r w:rsidR="00100FB5" w:rsidRPr="00241AA6">
        <w:t>avivaldybės biudžeto pergrupuotas finansavimo sum</w:t>
      </w:r>
      <w:r w:rsidR="00187863">
        <w:t>a</w:t>
      </w:r>
      <w:r w:rsidR="009139E5">
        <w:t>s sudaro mitybos lėšos – 377,56</w:t>
      </w:r>
      <w:r w:rsidR="00100FB5" w:rsidRPr="00241AA6">
        <w:t xml:space="preserve"> Eur ir skalbimo </w:t>
      </w:r>
      <w:r w:rsidR="00187863">
        <w:t>paslau</w:t>
      </w:r>
      <w:r w:rsidR="00100FB5">
        <w:t xml:space="preserve">goms </w:t>
      </w:r>
      <w:r w:rsidR="009139E5">
        <w:t>panaudotas finansavimas – 72,94</w:t>
      </w:r>
      <w:r w:rsidR="00100FB5">
        <w:t xml:space="preserve"> Eur.</w:t>
      </w:r>
    </w:p>
    <w:p w:rsidR="000045D4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Iš Europos Sąjungos gautas pergrupuotas finansavimo sumas sudaro gauti produktai pagal vaisių vartojimo skatinimo programą.</w:t>
      </w:r>
    </w:p>
    <w:p w:rsidR="000045D4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7147E" w:rsidRDefault="005832C6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 w:rsidR="00A22B2D">
        <w:rPr>
          <w:sz w:val="24"/>
          <w:szCs w:val="24"/>
        </w:rPr>
        <w:tab/>
      </w:r>
      <w:r w:rsidR="00A22B2D">
        <w:rPr>
          <w:sz w:val="24"/>
          <w:szCs w:val="24"/>
        </w:rPr>
        <w:tab/>
        <w:t>Reda Pupštienė</w:t>
      </w:r>
    </w:p>
    <w:p w:rsidR="009A4C3E" w:rsidRDefault="009A4C3E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</w:p>
    <w:p w:rsidR="00D56250" w:rsidRDefault="0077147E" w:rsidP="002018FB">
      <w:pPr>
        <w:spacing w:line="360" w:lineRule="auto"/>
        <w:jc w:val="both"/>
      </w:pPr>
      <w:r>
        <w:t xml:space="preserve">    </w:t>
      </w:r>
      <w:r w:rsidR="0046292D">
        <w:t>Vyriausioji buhalterė</w:t>
      </w:r>
      <w:r w:rsidR="0046292D">
        <w:tab/>
      </w:r>
      <w:r w:rsidR="0046292D">
        <w:tab/>
      </w:r>
      <w:r w:rsidR="0046292D">
        <w:tab/>
      </w:r>
      <w:r w:rsidR="0046292D">
        <w:tab/>
      </w:r>
      <w:r>
        <w:t xml:space="preserve">              </w:t>
      </w:r>
      <w:r w:rsidR="00D56250">
        <w:t>Ligita Užusienienė</w:t>
      </w:r>
    </w:p>
    <w:sectPr w:rsidR="00D56250" w:rsidSect="007F1D97">
      <w:footerReference w:type="even" r:id="rId9"/>
      <w:footerReference w:type="default" r:id="rId10"/>
      <w:pgSz w:w="11906" w:h="16838"/>
      <w:pgMar w:top="1134" w:right="73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D0" w:rsidRDefault="00B131D0">
      <w:r>
        <w:separator/>
      </w:r>
    </w:p>
  </w:endnote>
  <w:endnote w:type="continuationSeparator" w:id="0">
    <w:p w:rsidR="00B131D0" w:rsidRDefault="00B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1536" w:rsidRDefault="00C81536" w:rsidP="00C81536">
    <w:pPr>
      <w:pStyle w:val="Por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</w:p>
  <w:p w:rsidR="00C81536" w:rsidRDefault="00C81536" w:rsidP="00C81536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D0" w:rsidRDefault="00B131D0">
      <w:r>
        <w:separator/>
      </w:r>
    </w:p>
  </w:footnote>
  <w:footnote w:type="continuationSeparator" w:id="0">
    <w:p w:rsidR="00B131D0" w:rsidRDefault="00B1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E2F"/>
    <w:multiLevelType w:val="multilevel"/>
    <w:tmpl w:val="F85213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353"/>
    <w:multiLevelType w:val="multilevel"/>
    <w:tmpl w:val="636ED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D7D68"/>
    <w:multiLevelType w:val="hybridMultilevel"/>
    <w:tmpl w:val="BDBC65FA"/>
    <w:lvl w:ilvl="0" w:tplc="E6BEC9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9F302D"/>
    <w:multiLevelType w:val="hybridMultilevel"/>
    <w:tmpl w:val="4418A4E2"/>
    <w:lvl w:ilvl="0" w:tplc="E5022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E03D6">
      <w:numFmt w:val="none"/>
      <w:lvlText w:val=""/>
      <w:lvlJc w:val="left"/>
      <w:pPr>
        <w:tabs>
          <w:tab w:val="num" w:pos="360"/>
        </w:tabs>
      </w:pPr>
    </w:lvl>
    <w:lvl w:ilvl="2" w:tplc="862A5DC6">
      <w:numFmt w:val="none"/>
      <w:lvlText w:val=""/>
      <w:lvlJc w:val="left"/>
      <w:pPr>
        <w:tabs>
          <w:tab w:val="num" w:pos="360"/>
        </w:tabs>
      </w:pPr>
    </w:lvl>
    <w:lvl w:ilvl="3" w:tplc="EEDC36D4">
      <w:numFmt w:val="none"/>
      <w:lvlText w:val=""/>
      <w:lvlJc w:val="left"/>
      <w:pPr>
        <w:tabs>
          <w:tab w:val="num" w:pos="360"/>
        </w:tabs>
      </w:pPr>
    </w:lvl>
    <w:lvl w:ilvl="4" w:tplc="D9DC87A4">
      <w:numFmt w:val="none"/>
      <w:lvlText w:val=""/>
      <w:lvlJc w:val="left"/>
      <w:pPr>
        <w:tabs>
          <w:tab w:val="num" w:pos="360"/>
        </w:tabs>
      </w:pPr>
    </w:lvl>
    <w:lvl w:ilvl="5" w:tplc="FF5ADC9C">
      <w:numFmt w:val="none"/>
      <w:lvlText w:val=""/>
      <w:lvlJc w:val="left"/>
      <w:pPr>
        <w:tabs>
          <w:tab w:val="num" w:pos="360"/>
        </w:tabs>
      </w:pPr>
    </w:lvl>
    <w:lvl w:ilvl="6" w:tplc="DE5877B8">
      <w:numFmt w:val="none"/>
      <w:lvlText w:val=""/>
      <w:lvlJc w:val="left"/>
      <w:pPr>
        <w:tabs>
          <w:tab w:val="num" w:pos="360"/>
        </w:tabs>
      </w:pPr>
    </w:lvl>
    <w:lvl w:ilvl="7" w:tplc="67B4DDF6">
      <w:numFmt w:val="none"/>
      <w:lvlText w:val=""/>
      <w:lvlJc w:val="left"/>
      <w:pPr>
        <w:tabs>
          <w:tab w:val="num" w:pos="360"/>
        </w:tabs>
      </w:pPr>
    </w:lvl>
    <w:lvl w:ilvl="8" w:tplc="C4DCE3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C66349"/>
    <w:multiLevelType w:val="hybridMultilevel"/>
    <w:tmpl w:val="45E6D4B0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91AAB9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7855BD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6" w15:restartNumberingAfterBreak="0">
    <w:nsid w:val="2BB4617F"/>
    <w:multiLevelType w:val="hybridMultilevel"/>
    <w:tmpl w:val="786EB114"/>
    <w:lvl w:ilvl="0" w:tplc="1D78D106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2E897F7A"/>
    <w:multiLevelType w:val="hybridMultilevel"/>
    <w:tmpl w:val="5B60C638"/>
    <w:lvl w:ilvl="0" w:tplc="EC2872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7822D9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8C94B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500B9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B58667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FF8A9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95A1EE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F1EEC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908D7E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4B399D"/>
    <w:multiLevelType w:val="hybridMultilevel"/>
    <w:tmpl w:val="EB9E9BEA"/>
    <w:lvl w:ilvl="0" w:tplc="D3EA443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09C"/>
    <w:multiLevelType w:val="multilevel"/>
    <w:tmpl w:val="C728E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3E445B"/>
    <w:multiLevelType w:val="hybridMultilevel"/>
    <w:tmpl w:val="D576AF42"/>
    <w:lvl w:ilvl="0" w:tplc="8006F7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878565F"/>
    <w:multiLevelType w:val="hybridMultilevel"/>
    <w:tmpl w:val="0350911C"/>
    <w:lvl w:ilvl="0" w:tplc="42F645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9BC79C8"/>
    <w:multiLevelType w:val="hybridMultilevel"/>
    <w:tmpl w:val="00702A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02D0"/>
    <w:multiLevelType w:val="hybridMultilevel"/>
    <w:tmpl w:val="0DEED95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FE608B"/>
    <w:multiLevelType w:val="hybridMultilevel"/>
    <w:tmpl w:val="A894CC6C"/>
    <w:lvl w:ilvl="0" w:tplc="81064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E93"/>
    <w:multiLevelType w:val="multilevel"/>
    <w:tmpl w:val="73D8BD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4B3B7D"/>
    <w:multiLevelType w:val="multilevel"/>
    <w:tmpl w:val="BE6A9A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C10732"/>
    <w:multiLevelType w:val="multilevel"/>
    <w:tmpl w:val="4E207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18" w15:restartNumberingAfterBreak="0">
    <w:nsid w:val="5FCC704E"/>
    <w:multiLevelType w:val="multilevel"/>
    <w:tmpl w:val="D69821E2"/>
    <w:lvl w:ilvl="0">
      <w:start w:val="1"/>
      <w:numFmt w:val="decimal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0313E4"/>
    <w:multiLevelType w:val="multilevel"/>
    <w:tmpl w:val="A5B0F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24" w:hanging="1800"/>
      </w:pPr>
      <w:rPr>
        <w:rFonts w:hint="default"/>
      </w:rPr>
    </w:lvl>
  </w:abstractNum>
  <w:abstractNum w:abstractNumId="20" w15:restartNumberingAfterBreak="0">
    <w:nsid w:val="6E894FBE"/>
    <w:multiLevelType w:val="hybridMultilevel"/>
    <w:tmpl w:val="3286B450"/>
    <w:lvl w:ilvl="0" w:tplc="178A604E">
      <w:start w:val="1"/>
      <w:numFmt w:val="decimal"/>
      <w:lvlText w:val="%1."/>
      <w:lvlJc w:val="left"/>
      <w:pPr>
        <w:tabs>
          <w:tab w:val="num" w:pos="2918"/>
        </w:tabs>
        <w:ind w:left="2918" w:hanging="1620"/>
      </w:pPr>
      <w:rPr>
        <w:rFonts w:ascii="Times New Roman" w:eastAsia="Times New Roman" w:hAnsi="Times New Roman" w:cs="Times New Roman"/>
      </w:rPr>
    </w:lvl>
    <w:lvl w:ilvl="1" w:tplc="E81AADC0">
      <w:numFmt w:val="none"/>
      <w:lvlText w:val=""/>
      <w:lvlJc w:val="left"/>
      <w:pPr>
        <w:tabs>
          <w:tab w:val="num" w:pos="360"/>
        </w:tabs>
      </w:pPr>
    </w:lvl>
    <w:lvl w:ilvl="2" w:tplc="484A9C52">
      <w:numFmt w:val="none"/>
      <w:lvlText w:val=""/>
      <w:lvlJc w:val="left"/>
      <w:pPr>
        <w:tabs>
          <w:tab w:val="num" w:pos="360"/>
        </w:tabs>
      </w:pPr>
    </w:lvl>
    <w:lvl w:ilvl="3" w:tplc="728E2220">
      <w:numFmt w:val="none"/>
      <w:lvlText w:val=""/>
      <w:lvlJc w:val="left"/>
      <w:pPr>
        <w:tabs>
          <w:tab w:val="num" w:pos="360"/>
        </w:tabs>
      </w:pPr>
    </w:lvl>
    <w:lvl w:ilvl="4" w:tplc="A258AFA2">
      <w:numFmt w:val="none"/>
      <w:lvlText w:val=""/>
      <w:lvlJc w:val="left"/>
      <w:pPr>
        <w:tabs>
          <w:tab w:val="num" w:pos="360"/>
        </w:tabs>
      </w:pPr>
    </w:lvl>
    <w:lvl w:ilvl="5" w:tplc="4FBE8F5E">
      <w:numFmt w:val="none"/>
      <w:lvlText w:val=""/>
      <w:lvlJc w:val="left"/>
      <w:pPr>
        <w:tabs>
          <w:tab w:val="num" w:pos="360"/>
        </w:tabs>
      </w:pPr>
    </w:lvl>
    <w:lvl w:ilvl="6" w:tplc="6CC408EE">
      <w:numFmt w:val="none"/>
      <w:lvlText w:val=""/>
      <w:lvlJc w:val="left"/>
      <w:pPr>
        <w:tabs>
          <w:tab w:val="num" w:pos="360"/>
        </w:tabs>
      </w:pPr>
    </w:lvl>
    <w:lvl w:ilvl="7" w:tplc="D8E2EEB4">
      <w:numFmt w:val="none"/>
      <w:lvlText w:val=""/>
      <w:lvlJc w:val="left"/>
      <w:pPr>
        <w:tabs>
          <w:tab w:val="num" w:pos="360"/>
        </w:tabs>
      </w:pPr>
    </w:lvl>
    <w:lvl w:ilvl="8" w:tplc="F57C32E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5D247EC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9F"/>
    <w:rsid w:val="00002222"/>
    <w:rsid w:val="000045D4"/>
    <w:rsid w:val="000051F5"/>
    <w:rsid w:val="00014EBF"/>
    <w:rsid w:val="00020D84"/>
    <w:rsid w:val="0002687D"/>
    <w:rsid w:val="000356F4"/>
    <w:rsid w:val="00037807"/>
    <w:rsid w:val="00044C4E"/>
    <w:rsid w:val="00052E50"/>
    <w:rsid w:val="000601AF"/>
    <w:rsid w:val="00077FA8"/>
    <w:rsid w:val="00084594"/>
    <w:rsid w:val="00090F79"/>
    <w:rsid w:val="00094C93"/>
    <w:rsid w:val="00094D8C"/>
    <w:rsid w:val="00094DE8"/>
    <w:rsid w:val="000A5EB1"/>
    <w:rsid w:val="000B1EE2"/>
    <w:rsid w:val="000B7296"/>
    <w:rsid w:val="000C2F79"/>
    <w:rsid w:val="000C6AAB"/>
    <w:rsid w:val="000F1884"/>
    <w:rsid w:val="000F1C2C"/>
    <w:rsid w:val="000F7973"/>
    <w:rsid w:val="00100FB5"/>
    <w:rsid w:val="001115C4"/>
    <w:rsid w:val="001143C9"/>
    <w:rsid w:val="00123260"/>
    <w:rsid w:val="00127ACC"/>
    <w:rsid w:val="0013175E"/>
    <w:rsid w:val="001456F0"/>
    <w:rsid w:val="0014716B"/>
    <w:rsid w:val="001475F5"/>
    <w:rsid w:val="00150569"/>
    <w:rsid w:val="001556D2"/>
    <w:rsid w:val="001573D7"/>
    <w:rsid w:val="00177088"/>
    <w:rsid w:val="0017767D"/>
    <w:rsid w:val="0018381F"/>
    <w:rsid w:val="00185A34"/>
    <w:rsid w:val="00187863"/>
    <w:rsid w:val="0019136F"/>
    <w:rsid w:val="0019533A"/>
    <w:rsid w:val="001A18E5"/>
    <w:rsid w:val="001A3F59"/>
    <w:rsid w:val="001B12EF"/>
    <w:rsid w:val="001B5925"/>
    <w:rsid w:val="001C2EE1"/>
    <w:rsid w:val="001C355E"/>
    <w:rsid w:val="001F33B5"/>
    <w:rsid w:val="001F77F2"/>
    <w:rsid w:val="002018FB"/>
    <w:rsid w:val="00206F9F"/>
    <w:rsid w:val="00207693"/>
    <w:rsid w:val="00210BF5"/>
    <w:rsid w:val="00222E9C"/>
    <w:rsid w:val="002339EF"/>
    <w:rsid w:val="0024094B"/>
    <w:rsid w:val="00240BBB"/>
    <w:rsid w:val="00241AA6"/>
    <w:rsid w:val="00244921"/>
    <w:rsid w:val="002453BA"/>
    <w:rsid w:val="00247D56"/>
    <w:rsid w:val="00252189"/>
    <w:rsid w:val="00261FBD"/>
    <w:rsid w:val="00265E19"/>
    <w:rsid w:val="00271640"/>
    <w:rsid w:val="00271C9F"/>
    <w:rsid w:val="00271F81"/>
    <w:rsid w:val="00274101"/>
    <w:rsid w:val="00282525"/>
    <w:rsid w:val="00283003"/>
    <w:rsid w:val="00283324"/>
    <w:rsid w:val="00283713"/>
    <w:rsid w:val="0029757B"/>
    <w:rsid w:val="002A2718"/>
    <w:rsid w:val="002A535E"/>
    <w:rsid w:val="002A607A"/>
    <w:rsid w:val="002A76F8"/>
    <w:rsid w:val="002B2C4C"/>
    <w:rsid w:val="002C487C"/>
    <w:rsid w:val="002C5C9A"/>
    <w:rsid w:val="002D0152"/>
    <w:rsid w:val="002D0C44"/>
    <w:rsid w:val="002D123C"/>
    <w:rsid w:val="002D2D38"/>
    <w:rsid w:val="002D6F30"/>
    <w:rsid w:val="002E5206"/>
    <w:rsid w:val="002F259C"/>
    <w:rsid w:val="003033E1"/>
    <w:rsid w:val="003043DF"/>
    <w:rsid w:val="00322BD7"/>
    <w:rsid w:val="00325FDA"/>
    <w:rsid w:val="00334188"/>
    <w:rsid w:val="00353849"/>
    <w:rsid w:val="00361BCB"/>
    <w:rsid w:val="003626F5"/>
    <w:rsid w:val="00365AD7"/>
    <w:rsid w:val="00374DC2"/>
    <w:rsid w:val="003779C5"/>
    <w:rsid w:val="0038146D"/>
    <w:rsid w:val="00383A6F"/>
    <w:rsid w:val="003928C8"/>
    <w:rsid w:val="003A0441"/>
    <w:rsid w:val="003A7B36"/>
    <w:rsid w:val="003B40AF"/>
    <w:rsid w:val="003B6AF9"/>
    <w:rsid w:val="003B797B"/>
    <w:rsid w:val="003C0A89"/>
    <w:rsid w:val="003C1327"/>
    <w:rsid w:val="003F024C"/>
    <w:rsid w:val="003F64B7"/>
    <w:rsid w:val="00401807"/>
    <w:rsid w:val="00406D3C"/>
    <w:rsid w:val="004138FB"/>
    <w:rsid w:val="00416375"/>
    <w:rsid w:val="00416EFA"/>
    <w:rsid w:val="004221EC"/>
    <w:rsid w:val="0042584D"/>
    <w:rsid w:val="00431322"/>
    <w:rsid w:val="00451103"/>
    <w:rsid w:val="0046189D"/>
    <w:rsid w:val="0046292D"/>
    <w:rsid w:val="00470A6B"/>
    <w:rsid w:val="0047368F"/>
    <w:rsid w:val="00475E36"/>
    <w:rsid w:val="00483332"/>
    <w:rsid w:val="00487254"/>
    <w:rsid w:val="00494DBF"/>
    <w:rsid w:val="004A0AB8"/>
    <w:rsid w:val="004A115B"/>
    <w:rsid w:val="004A347A"/>
    <w:rsid w:val="004A3969"/>
    <w:rsid w:val="004C097F"/>
    <w:rsid w:val="004C38DE"/>
    <w:rsid w:val="004C66BA"/>
    <w:rsid w:val="004D1B85"/>
    <w:rsid w:val="004D5EAD"/>
    <w:rsid w:val="004D622C"/>
    <w:rsid w:val="004E36A3"/>
    <w:rsid w:val="00500734"/>
    <w:rsid w:val="00500F40"/>
    <w:rsid w:val="005025E7"/>
    <w:rsid w:val="00502F0F"/>
    <w:rsid w:val="00521E9B"/>
    <w:rsid w:val="00532FCB"/>
    <w:rsid w:val="005341A2"/>
    <w:rsid w:val="00535003"/>
    <w:rsid w:val="00537A4D"/>
    <w:rsid w:val="0054229B"/>
    <w:rsid w:val="00547EB3"/>
    <w:rsid w:val="00551721"/>
    <w:rsid w:val="00554011"/>
    <w:rsid w:val="0057260E"/>
    <w:rsid w:val="005832C6"/>
    <w:rsid w:val="005932E2"/>
    <w:rsid w:val="0059436B"/>
    <w:rsid w:val="00595507"/>
    <w:rsid w:val="00595B87"/>
    <w:rsid w:val="00596784"/>
    <w:rsid w:val="005A440C"/>
    <w:rsid w:val="005B5ECE"/>
    <w:rsid w:val="005D505E"/>
    <w:rsid w:val="005D5E35"/>
    <w:rsid w:val="005F6CD6"/>
    <w:rsid w:val="005F6CE4"/>
    <w:rsid w:val="006001EC"/>
    <w:rsid w:val="0061415D"/>
    <w:rsid w:val="00614F21"/>
    <w:rsid w:val="00637848"/>
    <w:rsid w:val="00647EF5"/>
    <w:rsid w:val="00651331"/>
    <w:rsid w:val="0066468F"/>
    <w:rsid w:val="0067084D"/>
    <w:rsid w:val="0067270F"/>
    <w:rsid w:val="00672971"/>
    <w:rsid w:val="0067646E"/>
    <w:rsid w:val="0068076C"/>
    <w:rsid w:val="006845EF"/>
    <w:rsid w:val="00687F01"/>
    <w:rsid w:val="00691181"/>
    <w:rsid w:val="00691334"/>
    <w:rsid w:val="00695808"/>
    <w:rsid w:val="006B24CD"/>
    <w:rsid w:val="006C1A0E"/>
    <w:rsid w:val="006C6465"/>
    <w:rsid w:val="006D1E01"/>
    <w:rsid w:val="006E1689"/>
    <w:rsid w:val="006E1CF0"/>
    <w:rsid w:val="006F015B"/>
    <w:rsid w:val="006F4D36"/>
    <w:rsid w:val="006F5B1E"/>
    <w:rsid w:val="006F77F5"/>
    <w:rsid w:val="0070043A"/>
    <w:rsid w:val="0070251B"/>
    <w:rsid w:val="007130E6"/>
    <w:rsid w:val="007161AF"/>
    <w:rsid w:val="0072564A"/>
    <w:rsid w:val="00742F83"/>
    <w:rsid w:val="007506A8"/>
    <w:rsid w:val="00770A45"/>
    <w:rsid w:val="0077147E"/>
    <w:rsid w:val="00773846"/>
    <w:rsid w:val="00781B09"/>
    <w:rsid w:val="00785439"/>
    <w:rsid w:val="0079151E"/>
    <w:rsid w:val="00791A24"/>
    <w:rsid w:val="007974C9"/>
    <w:rsid w:val="007A3EFE"/>
    <w:rsid w:val="007B21DD"/>
    <w:rsid w:val="007B7008"/>
    <w:rsid w:val="007C3E63"/>
    <w:rsid w:val="007C46EE"/>
    <w:rsid w:val="007D009D"/>
    <w:rsid w:val="007D5CDF"/>
    <w:rsid w:val="007F1D97"/>
    <w:rsid w:val="007F291D"/>
    <w:rsid w:val="007F5EB2"/>
    <w:rsid w:val="00803E79"/>
    <w:rsid w:val="00804EC2"/>
    <w:rsid w:val="008051FB"/>
    <w:rsid w:val="00807208"/>
    <w:rsid w:val="0081030F"/>
    <w:rsid w:val="008130E5"/>
    <w:rsid w:val="0081631A"/>
    <w:rsid w:val="00817171"/>
    <w:rsid w:val="00850670"/>
    <w:rsid w:val="00865A69"/>
    <w:rsid w:val="008723DB"/>
    <w:rsid w:val="0087622F"/>
    <w:rsid w:val="0087788D"/>
    <w:rsid w:val="00893CC5"/>
    <w:rsid w:val="008969E6"/>
    <w:rsid w:val="0089777D"/>
    <w:rsid w:val="008A54E0"/>
    <w:rsid w:val="008A770E"/>
    <w:rsid w:val="008B27DD"/>
    <w:rsid w:val="008B38B9"/>
    <w:rsid w:val="008B3D43"/>
    <w:rsid w:val="008C0EBE"/>
    <w:rsid w:val="008C13EF"/>
    <w:rsid w:val="008F0BDA"/>
    <w:rsid w:val="008F2DA3"/>
    <w:rsid w:val="008F6B9A"/>
    <w:rsid w:val="009139E5"/>
    <w:rsid w:val="009241BA"/>
    <w:rsid w:val="009311C5"/>
    <w:rsid w:val="00932AEB"/>
    <w:rsid w:val="00932B30"/>
    <w:rsid w:val="00933E46"/>
    <w:rsid w:val="00934399"/>
    <w:rsid w:val="00934BA5"/>
    <w:rsid w:val="00934C99"/>
    <w:rsid w:val="00937FA0"/>
    <w:rsid w:val="00943747"/>
    <w:rsid w:val="00946948"/>
    <w:rsid w:val="00950B46"/>
    <w:rsid w:val="00950D2E"/>
    <w:rsid w:val="009562CF"/>
    <w:rsid w:val="00964A27"/>
    <w:rsid w:val="00972502"/>
    <w:rsid w:val="0098032D"/>
    <w:rsid w:val="0098158D"/>
    <w:rsid w:val="00986853"/>
    <w:rsid w:val="0098743A"/>
    <w:rsid w:val="009907A1"/>
    <w:rsid w:val="009943EE"/>
    <w:rsid w:val="009A2581"/>
    <w:rsid w:val="009A4C3E"/>
    <w:rsid w:val="009B2C3C"/>
    <w:rsid w:val="009C59C9"/>
    <w:rsid w:val="009E30FF"/>
    <w:rsid w:val="009E70D9"/>
    <w:rsid w:val="00A008D8"/>
    <w:rsid w:val="00A0408D"/>
    <w:rsid w:val="00A05551"/>
    <w:rsid w:val="00A06DDA"/>
    <w:rsid w:val="00A1422B"/>
    <w:rsid w:val="00A17C6E"/>
    <w:rsid w:val="00A222B0"/>
    <w:rsid w:val="00A22B2D"/>
    <w:rsid w:val="00A36830"/>
    <w:rsid w:val="00A450F1"/>
    <w:rsid w:val="00A531B8"/>
    <w:rsid w:val="00A5514B"/>
    <w:rsid w:val="00A56FF4"/>
    <w:rsid w:val="00A62DC6"/>
    <w:rsid w:val="00A76E64"/>
    <w:rsid w:val="00A775BD"/>
    <w:rsid w:val="00A810BF"/>
    <w:rsid w:val="00A812B6"/>
    <w:rsid w:val="00A84509"/>
    <w:rsid w:val="00A9108B"/>
    <w:rsid w:val="00AA2066"/>
    <w:rsid w:val="00AA7587"/>
    <w:rsid w:val="00AB1BA5"/>
    <w:rsid w:val="00AC54B2"/>
    <w:rsid w:val="00AC7F4E"/>
    <w:rsid w:val="00AD24F0"/>
    <w:rsid w:val="00AD2F28"/>
    <w:rsid w:val="00AD6021"/>
    <w:rsid w:val="00AD66BA"/>
    <w:rsid w:val="00AE0E4A"/>
    <w:rsid w:val="00AE5C2A"/>
    <w:rsid w:val="00B04E56"/>
    <w:rsid w:val="00B06F4B"/>
    <w:rsid w:val="00B131D0"/>
    <w:rsid w:val="00B353F3"/>
    <w:rsid w:val="00B3714D"/>
    <w:rsid w:val="00B3731C"/>
    <w:rsid w:val="00B40EF4"/>
    <w:rsid w:val="00B51964"/>
    <w:rsid w:val="00B547A2"/>
    <w:rsid w:val="00B721CA"/>
    <w:rsid w:val="00B743E3"/>
    <w:rsid w:val="00B743F7"/>
    <w:rsid w:val="00B75E4C"/>
    <w:rsid w:val="00B76290"/>
    <w:rsid w:val="00B85E3F"/>
    <w:rsid w:val="00B90DD3"/>
    <w:rsid w:val="00B93F91"/>
    <w:rsid w:val="00BA156F"/>
    <w:rsid w:val="00BB4C64"/>
    <w:rsid w:val="00BC3E6A"/>
    <w:rsid w:val="00BD393E"/>
    <w:rsid w:val="00BD7ED3"/>
    <w:rsid w:val="00BE308E"/>
    <w:rsid w:val="00BE76AA"/>
    <w:rsid w:val="00BF05FC"/>
    <w:rsid w:val="00BF678D"/>
    <w:rsid w:val="00BF78DE"/>
    <w:rsid w:val="00C0330B"/>
    <w:rsid w:val="00C07C8A"/>
    <w:rsid w:val="00C214C7"/>
    <w:rsid w:val="00C2452F"/>
    <w:rsid w:val="00C24B5C"/>
    <w:rsid w:val="00C30A47"/>
    <w:rsid w:val="00C3331D"/>
    <w:rsid w:val="00C36814"/>
    <w:rsid w:val="00C43154"/>
    <w:rsid w:val="00C57A20"/>
    <w:rsid w:val="00C71122"/>
    <w:rsid w:val="00C77AE3"/>
    <w:rsid w:val="00C81536"/>
    <w:rsid w:val="00C823F1"/>
    <w:rsid w:val="00C86FB7"/>
    <w:rsid w:val="00C92BB5"/>
    <w:rsid w:val="00C93110"/>
    <w:rsid w:val="00CB06EE"/>
    <w:rsid w:val="00CC4EC6"/>
    <w:rsid w:val="00CD1396"/>
    <w:rsid w:val="00CD7B76"/>
    <w:rsid w:val="00CE63FC"/>
    <w:rsid w:val="00CF1AF1"/>
    <w:rsid w:val="00CF4C8F"/>
    <w:rsid w:val="00CF7E40"/>
    <w:rsid w:val="00D14CDA"/>
    <w:rsid w:val="00D170BF"/>
    <w:rsid w:val="00D32AB4"/>
    <w:rsid w:val="00D366C6"/>
    <w:rsid w:val="00D44AA3"/>
    <w:rsid w:val="00D45F63"/>
    <w:rsid w:val="00D5240E"/>
    <w:rsid w:val="00D53E72"/>
    <w:rsid w:val="00D56250"/>
    <w:rsid w:val="00D60D8E"/>
    <w:rsid w:val="00D62D10"/>
    <w:rsid w:val="00D6463E"/>
    <w:rsid w:val="00D67CA4"/>
    <w:rsid w:val="00D82115"/>
    <w:rsid w:val="00D84813"/>
    <w:rsid w:val="00D92880"/>
    <w:rsid w:val="00DA056C"/>
    <w:rsid w:val="00DA2470"/>
    <w:rsid w:val="00DB467C"/>
    <w:rsid w:val="00DD0481"/>
    <w:rsid w:val="00DF0265"/>
    <w:rsid w:val="00E002BB"/>
    <w:rsid w:val="00E0144E"/>
    <w:rsid w:val="00E073A2"/>
    <w:rsid w:val="00E102CE"/>
    <w:rsid w:val="00E12FF6"/>
    <w:rsid w:val="00E206C0"/>
    <w:rsid w:val="00E206FB"/>
    <w:rsid w:val="00E21663"/>
    <w:rsid w:val="00E243BA"/>
    <w:rsid w:val="00E2591C"/>
    <w:rsid w:val="00E336A8"/>
    <w:rsid w:val="00E36849"/>
    <w:rsid w:val="00E439F7"/>
    <w:rsid w:val="00E470F4"/>
    <w:rsid w:val="00E53E77"/>
    <w:rsid w:val="00E64B42"/>
    <w:rsid w:val="00E67A28"/>
    <w:rsid w:val="00E80341"/>
    <w:rsid w:val="00E82636"/>
    <w:rsid w:val="00E8479F"/>
    <w:rsid w:val="00E8538E"/>
    <w:rsid w:val="00E9530F"/>
    <w:rsid w:val="00EB13CE"/>
    <w:rsid w:val="00EB1B2F"/>
    <w:rsid w:val="00EB4CC3"/>
    <w:rsid w:val="00EC0430"/>
    <w:rsid w:val="00EC4927"/>
    <w:rsid w:val="00ED437A"/>
    <w:rsid w:val="00ED6013"/>
    <w:rsid w:val="00ED67AB"/>
    <w:rsid w:val="00EE311C"/>
    <w:rsid w:val="00EF69FC"/>
    <w:rsid w:val="00F01567"/>
    <w:rsid w:val="00F10BEA"/>
    <w:rsid w:val="00F112C0"/>
    <w:rsid w:val="00F15BC1"/>
    <w:rsid w:val="00F215CA"/>
    <w:rsid w:val="00F26F3A"/>
    <w:rsid w:val="00F31012"/>
    <w:rsid w:val="00F46718"/>
    <w:rsid w:val="00F540ED"/>
    <w:rsid w:val="00F55FE5"/>
    <w:rsid w:val="00F60180"/>
    <w:rsid w:val="00F6172C"/>
    <w:rsid w:val="00F71A09"/>
    <w:rsid w:val="00F75378"/>
    <w:rsid w:val="00F75D2E"/>
    <w:rsid w:val="00F86C59"/>
    <w:rsid w:val="00F929C6"/>
    <w:rsid w:val="00FA2CB8"/>
    <w:rsid w:val="00FA5667"/>
    <w:rsid w:val="00FC3689"/>
    <w:rsid w:val="00FC70FC"/>
    <w:rsid w:val="00FE202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C0A23"/>
  <w15:chartTrackingRefBased/>
  <w15:docId w15:val="{1C24D844-AB77-409E-85A8-60FA79C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D6021"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Antrat2">
    <w:name w:val="heading 2"/>
    <w:basedOn w:val="prastasis"/>
    <w:next w:val="prastasis"/>
    <w:qFormat/>
    <w:rsid w:val="00AD6021"/>
    <w:pPr>
      <w:keepNext/>
      <w:numPr>
        <w:ilvl w:val="1"/>
        <w:numId w:val="1"/>
      </w:numPr>
      <w:spacing w:before="240" w:after="24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AD6021"/>
    <w:pPr>
      <w:keepNext/>
      <w:numPr>
        <w:ilvl w:val="2"/>
        <w:numId w:val="1"/>
      </w:numPr>
      <w:spacing w:before="240" w:after="240"/>
      <w:ind w:left="72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AD60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AD60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AD60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AD6021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AD602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AD60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8F0BDA"/>
    <w:rPr>
      <w:b/>
      <w:bCs/>
      <w:i/>
      <w:iCs/>
    </w:rPr>
  </w:style>
  <w:style w:type="paragraph" w:styleId="Debesliotekstas">
    <w:name w:val="Balloon Text"/>
    <w:basedOn w:val="prastasis"/>
    <w:semiHidden/>
    <w:rsid w:val="0014716B"/>
    <w:rPr>
      <w:rFonts w:ascii="Tahoma" w:hAnsi="Tahoma" w:cs="Tahoma"/>
      <w:sz w:val="16"/>
      <w:szCs w:val="16"/>
    </w:rPr>
  </w:style>
  <w:style w:type="paragraph" w:customStyle="1" w:styleId="Hipersaitas1">
    <w:name w:val="Hipersaitas1"/>
    <w:basedOn w:val="prastasis"/>
    <w:rsid w:val="00F7537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Porat">
    <w:name w:val="footer"/>
    <w:basedOn w:val="prastasis"/>
    <w:rsid w:val="00C8153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536"/>
  </w:style>
  <w:style w:type="table" w:styleId="Lentelstinklelis">
    <w:name w:val="Table Grid"/>
    <w:basedOn w:val="prastojilentel"/>
    <w:rsid w:val="0024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77147E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AntratsDiagrama">
    <w:name w:val="Antraštės Diagrama"/>
    <w:link w:val="Antrats"/>
    <w:rsid w:val="0077147E"/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506A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kstukas.info/administracine-informacija/finansines-ataskai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2D4-02A6-481B-9C6F-61C0E081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lopšelis – darželis „Nykštukas“</vt:lpstr>
    </vt:vector>
  </TitlesOfParts>
  <Company>Namu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lopšelis – darželis „Nykštukas“</dc:title>
  <dc:subject/>
  <dc:creator>Adminas</dc:creator>
  <cp:keywords/>
  <dc:description/>
  <cp:lastModifiedBy>master</cp:lastModifiedBy>
  <cp:revision>40</cp:revision>
  <cp:lastPrinted>2022-05-13T13:33:00Z</cp:lastPrinted>
  <dcterms:created xsi:type="dcterms:W3CDTF">2018-11-14T13:31:00Z</dcterms:created>
  <dcterms:modified xsi:type="dcterms:W3CDTF">2022-05-13T13:34:00Z</dcterms:modified>
</cp:coreProperties>
</file>